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 xml:space="preserve">Обоснование 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 xml:space="preserve">начальной (максимальной) цены договора 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>/ цены единицы товара, работы, услуги</w:t>
      </w:r>
    </w:p>
    <w:p>
      <w:pPr>
        <w:pStyle w:val="Normal"/>
        <w:numPr>
          <w:ilvl w:val="0"/>
          <w:numId w:val="0"/>
        </w:numPr>
        <w:spacing w:lineRule="auto" w:line="240" w:before="0" w:after="120"/>
        <w:ind w:left="720" w:hanging="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>
      <w:pPr>
        <w:pStyle w:val="Normal"/>
        <w:numPr>
          <w:ilvl w:val="0"/>
          <w:numId w:val="0"/>
        </w:numPr>
        <w:spacing w:lineRule="auto" w:line="240" w:before="0" w:after="120"/>
        <w:ind w:left="720" w:hanging="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numPr>
          <w:ilvl w:val="0"/>
          <w:numId w:val="2"/>
        </w:numPr>
        <w:spacing w:lineRule="auto" w:line="240" w:before="0" w:after="120"/>
        <w:contextualSpacing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>Общая информация</w:t>
      </w:r>
    </w:p>
    <w:tbl>
      <w:tblPr>
        <w:tblStyle w:val="a3"/>
        <w:tblW w:w="9379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5"/>
        <w:gridCol w:w="3577"/>
        <w:gridCol w:w="5097"/>
      </w:tblGrid>
      <w:tr>
        <w:trPr/>
        <w:tc>
          <w:tcPr>
            <w:tcW w:w="70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п/п</w:t>
            </w:r>
          </w:p>
        </w:tc>
        <w:tc>
          <w:tcPr>
            <w:tcW w:w="357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Наименование</w:t>
            </w:r>
          </w:p>
        </w:tc>
        <w:tc>
          <w:tcPr>
            <w:tcW w:w="509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Информация по лоту</w:t>
            </w:r>
          </w:p>
        </w:tc>
      </w:tr>
      <w:tr>
        <w:trPr/>
        <w:tc>
          <w:tcPr>
            <w:tcW w:w="705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357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Наименование лота</w:t>
            </w:r>
          </w:p>
        </w:tc>
        <w:tc>
          <w:tcPr>
            <w:tcW w:w="509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40"/>
              <w:ind w:left="0" w:righ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kern w:val="0"/>
                <w:sz w:val="26"/>
                <w:szCs w:val="26"/>
                <w:u w:val="none"/>
                <w:em w:val="none"/>
                <w:lang w:val="ru-RU" w:eastAsia="en-US" w:bidi="ar-SA"/>
              </w:rPr>
              <w:t xml:space="preserve">«ОКПД2 71.12.13. Выполнение проектных работ по объекту: Реконструкция </w:t>
            </w:r>
            <w:r>
              <w:rPr>
                <w:rFonts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6"/>
                <w:szCs w:val="26"/>
                <w:u w:val="none"/>
                <w:em w:val="none"/>
              </w:rPr>
              <w:t xml:space="preserve">КЛ 6 кВ г. Биробиджан - 18,36 км, в рамках выполнения инвестиционного проекта  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6"/>
                <w:szCs w:val="26"/>
                <w:u w:val="none"/>
                <w:em w:val="none"/>
              </w:rPr>
              <w:t>(М_79-ЕАО-2432)»</w:t>
            </w:r>
          </w:p>
        </w:tc>
      </w:tr>
      <w:tr>
        <w:trPr/>
        <w:tc>
          <w:tcPr>
            <w:tcW w:w="705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357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Номер лота</w:t>
            </w:r>
          </w:p>
        </w:tc>
        <w:tc>
          <w:tcPr>
            <w:tcW w:w="509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115301-ТПИР ОБСЛ-2024-ДРСК-ЕАО</w:t>
            </w:r>
          </w:p>
        </w:tc>
      </w:tr>
      <w:tr>
        <w:trPr/>
        <w:tc>
          <w:tcPr>
            <w:tcW w:w="705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3577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0" w:right="0" w:hanging="0"/>
              <w:contextualSpacing/>
              <w:jc w:val="left"/>
              <w:rPr>
                <w:rFonts w:cs="Times New Roman"/>
                <w:kern w:val="0"/>
                <w:sz w:val="26"/>
                <w:szCs w:val="26"/>
                <w:lang w:val="ru-RU" w:bidi="ar-SA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ru-RU" w:eastAsia="en-US" w:bidi="ar-SA"/>
              </w:rPr>
              <w:t>НМЦ</w:t>
            </w:r>
          </w:p>
        </w:tc>
        <w:tc>
          <w:tcPr>
            <w:tcW w:w="509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40"/>
              <w:ind w:left="0" w:righ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kern w:val="0"/>
                <w:sz w:val="26"/>
                <w:szCs w:val="26"/>
                <w:u w:val="none"/>
                <w:em w:val="none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kern w:val="0"/>
                <w:sz w:val="26"/>
                <w:szCs w:val="26"/>
                <w:u w:val="none"/>
                <w:em w:val="none"/>
                <w:lang w:val="ru-RU" w:eastAsia="en-US" w:bidi="ar-SA"/>
              </w:rPr>
              <w:t>3 222 725,64 руб. без НДС</w:t>
            </w:r>
          </w:p>
        </w:tc>
      </w:tr>
    </w:tbl>
    <w:p>
      <w:pPr>
        <w:pStyle w:val="Normal"/>
        <w:spacing w:lineRule="auto" w:line="276" w:before="0" w:after="200"/>
        <w:ind w:left="720" w:hanging="0"/>
        <w:contextualSpacing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numPr>
          <w:ilvl w:val="0"/>
          <w:numId w:val="2"/>
        </w:numPr>
        <w:spacing w:lineRule="auto" w:line="240" w:before="0" w:after="120"/>
        <w:contextualSpacing/>
        <w:jc w:val="both"/>
        <w:rPr>
          <w:rFonts w:ascii="Times New Roman" w:hAnsi="Times New Roman" w:eastAsia="Times New Roman" w:cs="Times New Roman"/>
          <w:b/>
          <w:b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>Использованный метод (методы) расчета НМЦ / цены единицы товара, работы, услуги:</w:t>
      </w:r>
    </w:p>
    <w:p>
      <w:pPr>
        <w:pStyle w:val="Normal"/>
        <w:numPr>
          <w:ilvl w:val="0"/>
          <w:numId w:val="0"/>
        </w:numPr>
        <w:spacing w:lineRule="auto" w:line="240" w:before="0" w:after="120"/>
        <w:ind w:left="720" w:hanging="0"/>
        <w:contextualSpacing/>
        <w:jc w:val="both"/>
        <w:rPr>
          <w:rFonts w:ascii="Times New Roman" w:hAnsi="Times New Roman" w:eastAsia="Times New Roman" w:cs="Times New Roman"/>
          <w:b/>
          <w:b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sz w:val="26"/>
          <w:szCs w:val="26"/>
          <w:lang w:eastAsia="ru-RU"/>
        </w:rPr>
        <w:t>Базисно-индексный метод</w:t>
      </w:r>
    </w:p>
    <w:p>
      <w:pPr>
        <w:pStyle w:val="Normal"/>
        <w:numPr>
          <w:ilvl w:val="0"/>
          <w:numId w:val="0"/>
        </w:numPr>
        <w:spacing w:lineRule="auto" w:line="240" w:before="0" w:after="120"/>
        <w:ind w:left="720" w:hanging="0"/>
        <w:contextualSpacing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 w:val="false"/>
          <w:bCs w:val="false"/>
          <w:sz w:val="26"/>
          <w:szCs w:val="26"/>
          <w:lang w:eastAsia="ru-RU"/>
        </w:rPr>
        <w:t>Обоснование расчета НМЦ: прилагаемые сметные расчеты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lang w:eastAsia="ru-RU"/>
        </w:rPr>
      </w:pPr>
      <w:r>
        <w:rPr>
          <w:rFonts w:eastAsia="Times New Roman" w:cs="Times New Roman" w:ascii="Times New Roman" w:hAnsi="Times New Roman"/>
          <w:b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lang w:eastAsia="ru-RU"/>
        </w:rPr>
      </w:pPr>
      <w:r>
        <w:rPr>
          <w:rFonts w:eastAsia="Times New Roman" w:cs="Times New Roman" w:ascii="Times New Roman" w:hAnsi="Times New Roman"/>
          <w:b/>
          <w:lang w:eastAsia="ru-RU"/>
        </w:rPr>
      </w:r>
    </w:p>
    <w:p>
      <w:pPr>
        <w:pStyle w:val="Normal"/>
        <w:spacing w:lineRule="auto" w:line="240" w:before="0" w:after="0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>Приложения:</w:t>
      </w:r>
    </w:p>
    <w:p>
      <w:pPr>
        <w:pStyle w:val="Normal"/>
        <w:spacing w:lineRule="auto" w:line="240" w:before="0" w:after="120"/>
        <w:contextualSpacing/>
        <w:rPr>
          <w:rFonts w:ascii="Times New Roman" w:hAnsi="Times New Roman" w:eastAsia="Times New Roman" w:cs="Calibri"/>
          <w:sz w:val="26"/>
          <w:szCs w:val="26"/>
        </w:rPr>
      </w:pPr>
      <w:r>
        <w:rPr>
          <w:rFonts w:eastAsia="Times New Roman" w:cs="Calibri" w:ascii="Times New Roman" w:hAnsi="Times New Roman"/>
          <w:sz w:val="26"/>
          <w:szCs w:val="26"/>
        </w:rPr>
      </w:r>
    </w:p>
    <w:p>
      <w:pPr>
        <w:pStyle w:val="Normal"/>
        <w:numPr>
          <w:ilvl w:val="0"/>
          <w:numId w:val="5"/>
        </w:numPr>
        <w:spacing w:lineRule="auto" w:line="276" w:before="0" w:after="200"/>
        <w:contextualSpacing/>
        <w:rPr>
          <w:sz w:val="26"/>
          <w:szCs w:val="26"/>
        </w:rPr>
      </w:pPr>
      <w:r>
        <w:rPr>
          <w:rFonts w:eastAsia="Times New Roman" w:cs="Calibri" w:ascii="Times New Roman" w:hAnsi="Times New Roman"/>
          <w:sz w:val="26"/>
          <w:szCs w:val="26"/>
        </w:rPr>
        <w:t>ССРС с приложениями.</w:t>
      </w:r>
    </w:p>
    <w:p>
      <w:pPr>
        <w:pStyle w:val="Normal"/>
        <w:spacing w:lineRule="auto" w:line="240" w:before="0" w:after="120"/>
        <w:ind w:left="720" w:hanging="0"/>
        <w:contextualSpacing/>
        <w:rPr>
          <w:rFonts w:ascii="Times New Roman" w:hAnsi="Times New Roman" w:eastAsia="Times New Roman" w:cs="Calibri"/>
        </w:rPr>
      </w:pPr>
      <w:r>
        <w:rPr>
          <w:rFonts w:eastAsia="Times New Roman" w:cs="Calibri" w:ascii="Times New Roman" w:hAnsi="Times New Roman"/>
        </w:rPr>
      </w:r>
    </w:p>
    <w:tbl>
      <w:tblPr>
        <w:tblStyle w:val="a3"/>
        <w:tblW w:w="3953" w:type="dxa"/>
        <w:jc w:val="left"/>
        <w:tblInd w:w="7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110"/>
        <w:gridCol w:w="1842"/>
      </w:tblGrid>
      <w:tr>
        <w:trPr/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120"/>
              <w:contextualSpacing/>
              <w:jc w:val="left"/>
              <w:rPr>
                <w:rFonts w:ascii="Times New Roman" w:hAnsi="Times New Roman" w:eastAsia="Times New Roman" w:cs="Calibri"/>
              </w:rPr>
            </w:pPr>
            <w:r>
              <w:rPr>
                <w:rFonts w:eastAsia="Times New Roman" w:cs="Calibri" w:ascii="Times New Roman" w:hAnsi="Times New Roman"/>
              </w:rPr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120"/>
              <w:contextualSpacing/>
              <w:jc w:val="left"/>
              <w:rPr>
                <w:rFonts w:ascii="Times New Roman" w:hAnsi="Times New Roman" w:eastAsia="Times New Roman" w:cs="Calibri"/>
              </w:rPr>
            </w:pPr>
            <w:r>
              <w:rPr>
                <w:rFonts w:eastAsia="Times New Roman" w:cs="Calibri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120"/>
        <w:ind w:left="720" w:hanging="0"/>
        <w:contextualSpacing/>
        <w:rPr>
          <w:rFonts w:ascii="Times New Roman" w:hAnsi="Times New Roman" w:eastAsia="Times New Roman" w:cs="Calibri"/>
        </w:rPr>
      </w:pPr>
      <w:r>
        <w:rPr>
          <w:rFonts w:eastAsia="Times New Roman" w:cs="Calibri" w:ascii="Times New Roman" w:hAnsi="Times New Roman"/>
        </w:rPr>
      </w:r>
    </w:p>
    <w:p>
      <w:pPr>
        <w:pStyle w:val="Normal"/>
        <w:spacing w:lineRule="auto" w:line="240" w:before="0" w:after="120"/>
        <w:ind w:left="720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pPr>
      <w:keepNext w:val="true"/>
      <w:numPr>
        <w:ilvl w:val="0"/>
        <w:numId w:val="0"/>
      </w:numPr>
      <w:spacing w:lineRule="auto" w:line="240" w:before="0" w:after="0"/>
      <w:jc w:val="center"/>
      <w:outlineLvl w:val="0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qFormat/>
    <w:pPr>
      <w:keepNext w:val="true"/>
      <w:keepLines/>
      <w:numPr>
        <w:ilvl w:val="0"/>
        <w:numId w:val="0"/>
      </w:numPr>
      <w:spacing w:before="40" w:after="0"/>
      <w:outlineLvl w:val="3"/>
    </w:pPr>
    <w:rPr>
      <w:rFonts w:ascii="Cambria" w:hAnsi="Cambria" w:eastAsia="Calibri" w:cs="Tahoma"/>
      <w:i/>
      <w:iCs/>
      <w:color w:val="365F9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dd4917"/>
    <w:rPr>
      <w:rFonts w:ascii="Segoe UI" w:hAnsi="Segoe UI" w:cs="Segoe UI"/>
      <w:sz w:val="18"/>
      <w:szCs w:val="18"/>
    </w:rPr>
  </w:style>
  <w:style w:type="character" w:styleId="Style13">
    <w:name w:val="Интернет-ссылка"/>
    <w:rPr>
      <w:color w:val="0000FF"/>
      <w:u w:val="single"/>
    </w:rPr>
  </w:style>
  <w:style w:type="character" w:styleId="41">
    <w:name w:val="Заголовок 4 Знак"/>
    <w:basedOn w:val="DefaultParagraphFont"/>
    <w:qFormat/>
    <w:rPr>
      <w:rFonts w:ascii="Cambria" w:hAnsi="Cambria" w:eastAsia="Calibri" w:cs="Tahoma"/>
      <w:i/>
      <w:iCs/>
      <w:color w:val="365F91"/>
    </w:rPr>
  </w:style>
  <w:style w:type="character" w:styleId="Strong">
    <w:name w:val="Strong"/>
    <w:qFormat/>
    <w:rPr>
      <w:b/>
      <w:bCs/>
    </w:rPr>
  </w:style>
  <w:style w:type="character" w:styleId="3">
    <w:name w:val="Основной текст с отступом 3 Знак"/>
    <w:basedOn w:val="DefaultParagraphFont"/>
    <w:qFormat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1">
    <w:name w:val="Заголовок 1 Знак"/>
    <w:basedOn w:val="DefaultParagraphFont"/>
    <w:qFormat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Style14">
    <w:name w:val="Привязка сноски"/>
    <w:rPr>
      <w:vertAlign w:val="superscript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Style15">
    <w:name w:val="Привязка концевой сноски"/>
    <w:rPr>
      <w:vertAlign w:val="superscript"/>
    </w:rPr>
  </w:style>
  <w:style w:type="character" w:styleId="Style16">
    <w:name w:val="Текст концевой сноски Знак"/>
    <w:basedOn w:val="DefaultParagraphFont"/>
    <w:qFormat/>
    <w:rPr>
      <w:sz w:val="20"/>
      <w:szCs w:val="20"/>
    </w:rPr>
  </w:style>
  <w:style w:type="character" w:styleId="2">
    <w:name w:val="Стиль2 Знак"/>
    <w:qFormat/>
    <w:rPr>
      <w:rFonts w:ascii="Times New Roman" w:hAnsi="Times New Roman" w:eastAsia="Times New Roman" w:cs="Times New Roman"/>
      <w:sz w:val="24"/>
      <w:szCs w:val="24"/>
      <w:lang w:val="x-none" w:eastAsia="ar-SA"/>
    </w:rPr>
  </w:style>
  <w:style w:type="character" w:styleId="Style17">
    <w:name w:val="Абзац списка Знак"/>
    <w:qFormat/>
    <w:rPr>
      <w:rFonts w:ascii="Times New Roman" w:hAnsi="Times New Roman" w:eastAsia="Times New Roman" w:cs="Times New Roman"/>
      <w:sz w:val="20"/>
      <w:szCs w:val="20"/>
      <w:lang w:val="x-none" w:eastAsia="ar-SA"/>
    </w:rPr>
  </w:style>
  <w:style w:type="character" w:styleId="Style18">
    <w:name w:val="Текст сноски Знак"/>
    <w:basedOn w:val="DefaultParagraphFont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9">
    <w:name w:val="Тема примечания Знак"/>
    <w:basedOn w:val="Style20"/>
    <w:qFormat/>
    <w:rPr>
      <w:b/>
      <w:bCs/>
      <w:sz w:val="20"/>
      <w:szCs w:val="20"/>
    </w:rPr>
  </w:style>
  <w:style w:type="character" w:styleId="Style20">
    <w:name w:val="Текст примечания Знак"/>
    <w:basedOn w:val="DefaultParagraphFont"/>
    <w:qFormat/>
    <w:rPr>
      <w:sz w:val="20"/>
      <w:szCs w:val="20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Style21">
    <w:name w:val="Основной текст Знак"/>
    <w:basedOn w:val="DefaultParagraphFont"/>
    <w:qFormat/>
    <w:rPr>
      <w:rFonts w:ascii="Times New Roman" w:hAnsi="Times New Roman" w:eastAsia="Times New Roman" w:cs="Times New Roman"/>
      <w:sz w:val="28"/>
      <w:szCs w:val="28"/>
      <w:lang w:val="x-none" w:eastAsia="x-none"/>
    </w:rPr>
  </w:style>
  <w:style w:type="character" w:styleId="Style22">
    <w:name w:val="Нижний колонтитул Знак"/>
    <w:basedOn w:val="DefaultParagraphFont"/>
    <w:qFormat/>
    <w:rPr/>
  </w:style>
  <w:style w:type="character" w:styleId="Style23">
    <w:name w:val="Верхний колонтитул Знак"/>
    <w:basedOn w:val="DefaultParagraphFont"/>
    <w:qFormat/>
    <w:rPr/>
  </w:style>
  <w:style w:type="paragraph" w:styleId="Style24">
    <w:name w:val="Заголовок"/>
    <w:basedOn w:val="Normal"/>
    <w:next w:val="Style25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25">
    <w:name w:val="Body Text"/>
    <w:basedOn w:val="Normal"/>
    <w:pPr>
      <w:spacing w:lineRule="auto" w:line="276" w:before="0" w:after="140"/>
    </w:pPr>
    <w:rPr/>
  </w:style>
  <w:style w:type="paragraph" w:styleId="Style26">
    <w:name w:val="List"/>
    <w:basedOn w:val="Style25"/>
    <w:pPr/>
    <w:rPr>
      <w:rFonts w:cs="Lohit Devanagari"/>
    </w:rPr>
  </w:style>
  <w:style w:type="paragraph" w:styleId="Style2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8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dd491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9">
    <w:name w:val="Содержимое таблицы"/>
    <w:basedOn w:val="Normal"/>
    <w:qFormat/>
    <w:pPr>
      <w:widowControl w:val="false"/>
      <w:suppressLineNumbers/>
    </w:pPr>
    <w:rPr/>
  </w:style>
  <w:style w:type="paragraph" w:styleId="Style30">
    <w:name w:val="Заголовок таблицы"/>
    <w:basedOn w:val="Style29"/>
    <w:qFormat/>
    <w:pPr/>
    <w:rPr/>
  </w:style>
  <w:style w:type="paragraph" w:styleId="42">
    <w:name w:val="TOC 4"/>
    <w:basedOn w:val="Normal"/>
    <w:next w:val="Normal"/>
    <w:pPr>
      <w:spacing w:lineRule="auto" w:line="240" w:before="0" w:after="0"/>
      <w:ind w:left="560" w:right="0" w:hanging="0"/>
    </w:pPr>
    <w:rPr>
      <w:rFonts w:ascii="Times New Roman" w:hAnsi="Times New Roman" w:eastAsia="Times New Roman" w:cs="Calibri"/>
      <w:sz w:val="20"/>
      <w:szCs w:val="20"/>
      <w:lang w:eastAsia="ru-RU"/>
    </w:rPr>
  </w:style>
  <w:style w:type="paragraph" w:styleId="31">
    <w:name w:val="TOC 3"/>
    <w:basedOn w:val="Normal"/>
    <w:next w:val="Normal"/>
    <w:pPr>
      <w:spacing w:lineRule="auto" w:line="240" w:before="0" w:after="0"/>
      <w:ind w:left="280" w:right="0" w:hanging="0"/>
    </w:pPr>
    <w:rPr>
      <w:rFonts w:ascii="Times New Roman" w:hAnsi="Times New Roman" w:eastAsia="Times New Roman" w:cs="Calibri"/>
      <w:sz w:val="20"/>
      <w:szCs w:val="20"/>
      <w:lang w:eastAsia="ru-RU"/>
    </w:rPr>
  </w:style>
  <w:style w:type="paragraph" w:styleId="12">
    <w:name w:val="TOC 1"/>
    <w:basedOn w:val="Normal"/>
    <w:next w:val="Normal"/>
    <w:pPr>
      <w:spacing w:lineRule="auto" w:line="240" w:before="120" w:after="0"/>
    </w:pPr>
    <w:rPr>
      <w:rFonts w:ascii="Times New Roman" w:hAnsi="Times New Roman" w:eastAsia="Times New Roman" w:cs="Calibri Light (Заголовки)"/>
      <w:b/>
      <w:bCs/>
      <w:sz w:val="24"/>
      <w:szCs w:val="24"/>
      <w:lang w:eastAsia="ru-RU"/>
    </w:rPr>
  </w:style>
  <w:style w:type="paragraph" w:styleId="BodyTextIndent3">
    <w:name w:val="Body Text Indent 3"/>
    <w:basedOn w:val="Normal"/>
    <w:qFormat/>
    <w:pPr>
      <w:spacing w:lineRule="auto" w:line="240" w:before="0" w:after="120"/>
      <w:ind w:left="283" w:right="0" w:hanging="0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Style31">
    <w:name w:val="Подраздел раздела положения"/>
    <w:basedOn w:val="Normal"/>
    <w:qFormat/>
    <w:pPr>
      <w:numPr>
        <w:ilvl w:val="0"/>
        <w:numId w:val="4"/>
      </w:numPr>
      <w:spacing w:lineRule="auto" w:line="240" w:before="80" w:after="8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Style32">
    <w:name w:val="Раздел положения"/>
    <w:basedOn w:val="Normal"/>
    <w:qFormat/>
    <w:pPr>
      <w:numPr>
        <w:ilvl w:val="0"/>
        <w:numId w:val="4"/>
      </w:numPr>
      <w:spacing w:lineRule="auto" w:line="240" w:before="80" w:after="80"/>
      <w:jc w:val="center"/>
    </w:pPr>
    <w:rPr>
      <w:rFonts w:ascii="Times New Roman" w:hAnsi="Times New Roman" w:eastAsia="Times New Roman" w:cs="Times New Roman"/>
      <w:b/>
      <w:sz w:val="32"/>
      <w:szCs w:val="32"/>
      <w:lang w:eastAsia="ru-RU"/>
    </w:rPr>
  </w:style>
  <w:style w:type="paragraph" w:styleId="Style33">
    <w:name w:val="Таблица шапка"/>
    <w:basedOn w:val="Normal"/>
    <w:qFormat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6"/>
      <w:lang w:eastAsia="ru-RU"/>
    </w:rPr>
  </w:style>
  <w:style w:type="paragraph" w:styleId="Formattext">
    <w:name w:val="formattext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>
    <w:name w:val="Таблица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Revision">
    <w:name w:val="Revision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35">
    <w:name w:val="Endnote Text"/>
    <w:basedOn w:val="Normal"/>
    <w:pPr>
      <w:spacing w:lineRule="auto" w:line="240" w:before="0" w:after="0"/>
    </w:pPr>
    <w:rPr>
      <w:sz w:val="20"/>
      <w:szCs w:val="20"/>
    </w:rPr>
  </w:style>
  <w:style w:type="paragraph" w:styleId="ListParagraph">
    <w:name w:val="List Paragraph"/>
    <w:basedOn w:val="Normal"/>
    <w:qFormat/>
    <w:pPr>
      <w:widowControl w:val="false"/>
      <w:suppressAutoHyphens w:val="true"/>
      <w:spacing w:lineRule="auto" w:line="240" w:before="0" w:after="0"/>
      <w:ind w:left="720" w:right="0" w:hanging="0"/>
    </w:pPr>
    <w:rPr>
      <w:rFonts w:ascii="Times New Roman" w:hAnsi="Times New Roman" w:eastAsia="Times New Roman" w:cs="Times New Roman"/>
      <w:sz w:val="20"/>
      <w:szCs w:val="20"/>
      <w:lang w:val="x-none" w:eastAsia="ar-SA"/>
    </w:rPr>
  </w:style>
  <w:style w:type="paragraph" w:styleId="21">
    <w:name w:val="Стиль2"/>
    <w:basedOn w:val="Normal"/>
    <w:qFormat/>
    <w:pPr>
      <w:numPr>
        <w:ilvl w:val="0"/>
        <w:numId w:val="3"/>
      </w:numPr>
      <w:tabs>
        <w:tab w:val="clear" w:pos="708"/>
        <w:tab w:val="left" w:pos="360" w:leader="none"/>
        <w:tab w:val="left" w:pos="900" w:leader="none"/>
      </w:tabs>
      <w:suppressAutoHyphens w:val="true"/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ar-SA"/>
    </w:rPr>
  </w:style>
  <w:style w:type="paragraph" w:styleId="Style36">
    <w:name w:val="Footnote Text"/>
    <w:basedOn w:val="Normal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Annotationtext">
    <w:name w:val="annotation text"/>
    <w:basedOn w:val="Normal"/>
    <w:qFormat/>
    <w:pPr>
      <w:spacing w:lineRule="auto" w:line="240"/>
    </w:pPr>
    <w:rPr>
      <w:sz w:val="20"/>
      <w:szCs w:val="20"/>
    </w:rPr>
  </w:style>
  <w:style w:type="paragraph" w:styleId="Style37">
    <w:name w:val="Колонтитул"/>
    <w:basedOn w:val="Normal"/>
    <w:qFormat/>
    <w:pPr>
      <w:suppressLineNumbers/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8">
    <w:name w:val="Footer"/>
    <w:basedOn w:val="Normal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9">
    <w:name w:val="Header"/>
    <w:basedOn w:val="Normal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4630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Application>AlterOffice/3.2.10.1$Linux_X86_64 LibreOffice_project/fd4aef8cf5375f9cc83c908f13323775cf9f559f</Application>
  <AppVersion>15.0000</AppVersion>
  <Pages>1</Pages>
  <Words>83</Words>
  <Characters>531</Characters>
  <CharactersWithSpaces>597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2023-04-20T23:54:00Z</dcterms:created>
  <dc:creator>Мозжухин Дмитрий Юрьевич</dc:creator>
  <dc:description/>
  <dc:language>ru-RU</dc:language>
  <cp:lastModifiedBy>polyakov_ma</cp:lastModifiedBy>
  <cp:lastPrinted>2023-04-20T23:54:00Z</cp:lastPrinted>
  <dcterms:modified xsi:type="dcterms:W3CDTF">2024-02-02T13:05:53Z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